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2" w:rsidRPr="00BB4752" w:rsidRDefault="00BB4752" w:rsidP="00BB47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923DB">
        <w:rPr>
          <w:rFonts w:ascii="Calibri" w:hAnsi="Calibri" w:cs="Calibri"/>
          <w:b/>
          <w:bCs/>
        </w:rPr>
        <w:t>Objaśnienia do Wieloletniej Prognozy Finansowej Gminy Nadarzyn na lata 2013-2019.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Wieloletnia  prognoza  finansowa Gminy Nadarzyn przedstawia perspektywę finansową, możliwości inwestycyjne i ocenę zdolności kredytowej Gminy w przyszłych latach na podstawie planowanych wielkości  dochodów i wydatków budżetu gminy, wykazu przedsięwzięć  i prognozy długu JST. 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Wieloletnia Prognoza Finansowa Gminy Nadarzyn na lata 2013-2019 została opracowana (zgodnie z art.227) na okres 7 lat, na podstawie wykazu przedsięwzięć: wydatków bieżących i majątkowych na lata 2013-2019, w którym określona jest kwota limitu zobowiązań jakie organ wykonawczy może zaciągnąć w okresie objętym prognozą w celu realizacji określonego przedsięwzięcia zgodnie z art. 226 ust. 3 pkt.4 ( załącznik nr.2) oraz na podstawie prognozy długu do 2019 r. </w:t>
      </w:r>
      <w:proofErr w:type="spellStart"/>
      <w:r w:rsidRPr="003923DB">
        <w:rPr>
          <w:rFonts w:ascii="Calibri" w:hAnsi="Calibri" w:cs="Calibri"/>
        </w:rPr>
        <w:t>tj</w:t>
      </w:r>
      <w:proofErr w:type="spellEnd"/>
      <w:r w:rsidRPr="003923DB">
        <w:rPr>
          <w:rFonts w:ascii="Calibri" w:hAnsi="Calibri" w:cs="Calibri"/>
        </w:rPr>
        <w:t xml:space="preserve"> na okres na który zaciągnięte zostały zobowiązania. Wartości przyjęte w WPF dla roku 2013 są zgodne z projektem budżetu na 2013 rok, podstawowa zasadą przy opracowaniu projektu  była ocena realnych potrzeb jednostek organizacyjnych gminy przy wprowadzeniu działań ograniczających wydatki bieżące. (załącznik nr.1)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Wykaz przedsięwzięć to odrębne informacje dla każdego przedsięwzięcia zawierające: nazwę i cel, jednostkę organizacyjną odpowiedzialną za wykonanie zadania , okres realizacji i łączną kwotę nakładów finansowych, źródła finansowania oraz limity wydatków i zobowiązań w poszczególnych latach objętych prognozą.  (załącznik nr.2)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Podstawą opracowania WPF Gminy Nadarzyn począwszy od 2013 roku, były dane sprawozdawcze z wykonania budżetu gminy za lata 2010, 2011 oraz wartości planowane na dzień 30.09.2012 Uchwała Nr XXIV/245/2012 Rady Gminy Nadarzyn z dnia 28 września 2012 r. oraz na dzień  30.10.2012 Uchwała Nr XXV/266/2012 Rady Gminy Nadarzyn z dnia 18 października 2012r.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 Do planowania wysokości dotacji, subwencji i udziałów w podatku dochodowym od osób fizycznych na rok 2013, wykorzystano dane z Mazowieckiego Urzędu Wojewódzkiego, Ministerstwa Finansów i Krajowego Biura Wyborczego . 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Prognozę dochodów i wydatków bieżących na lata 2014-2019 opracowano na podstawie wytycznych Ministerstwa Finansów z dnia 12 września 2012r, dotyczących założeń makroekonomicznych na potrzeby wieloletnich prognoz finansowych jednostek samorządu terytorialnego. Podstawą prognozy wysokości dochodów bieżących na lata 2014-2019 był wskaźnik wzrostu PKB, a wydatków bieżących (w tym wynagrodzeń oraz wydatków związanych z funkcjonowaniem organów JST)  był wskaźnik cen towarów i usług konsumpcyjnych CPI:</w:t>
      </w:r>
    </w:p>
    <w:p w:rsidR="003923DB" w:rsidRPr="003923DB" w:rsidRDefault="003923DB" w:rsidP="003923DB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PKB - dynamika realna (%); 2014-102,5(%) 2015-103,5(%) 2016-104,0(%) 2017-103,9(%) 2018-103,8(%) 2019-103,5(%)</w:t>
      </w:r>
    </w:p>
    <w:p w:rsidR="003923DB" w:rsidRPr="003923DB" w:rsidRDefault="003923DB" w:rsidP="003923DB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CPI  - dynamika średnioroczna (%); 2014-102,3(%) 2015-102,5(%) 2016-102,5(%) 2017-102,5(%) 2018-102,4(%) 2019-102,4(%)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923DB">
        <w:rPr>
          <w:rFonts w:ascii="Calibri" w:hAnsi="Calibri" w:cs="Calibri"/>
          <w:b/>
          <w:bCs/>
        </w:rPr>
        <w:lastRenderedPageBreak/>
        <w:t>Dochody budżetowe.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923DB">
        <w:rPr>
          <w:rFonts w:ascii="Calibri" w:hAnsi="Calibri" w:cs="Calibri"/>
        </w:rPr>
        <w:t>Planowane dochody budżetowe gminy  na rok 2013 wynoszą 77.839.341,79 zł, z tego:</w:t>
      </w:r>
    </w:p>
    <w:p w:rsidR="003923DB" w:rsidRPr="003923DB" w:rsidRDefault="003923DB" w:rsidP="003923DB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dochody bieżące 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 xml:space="preserve">             72.672.766,04 zł, w tym: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>- środki określone w art.5 ust.1 pkt.2         610.982,83 zł;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       2.  dochody majątkowe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 xml:space="preserve"> 5.166.575,75 zł, w tym: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- ze sprzedaży majątku 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 xml:space="preserve"> </w:t>
      </w:r>
      <w:r w:rsidRPr="003923DB">
        <w:rPr>
          <w:rFonts w:ascii="Calibri" w:hAnsi="Calibri" w:cs="Calibri"/>
        </w:rPr>
        <w:tab/>
        <w:t xml:space="preserve"> 2.000.000,00 zł,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- środki określone w art.5 ust.1 pkt.2 </w:t>
      </w:r>
      <w:r w:rsidRPr="003923DB">
        <w:rPr>
          <w:rFonts w:ascii="Calibri" w:hAnsi="Calibri" w:cs="Calibri"/>
        </w:rPr>
        <w:tab/>
        <w:t xml:space="preserve"> 3.036.575,75 zł.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923DB">
        <w:rPr>
          <w:rFonts w:ascii="Calibri" w:hAnsi="Calibri" w:cs="Calibri"/>
          <w:b/>
          <w:bCs/>
        </w:rPr>
        <w:t>Wydatki budżetowe.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923DB">
        <w:rPr>
          <w:rFonts w:ascii="Calibri" w:hAnsi="Calibri" w:cs="Calibri"/>
        </w:rPr>
        <w:t>Planowane wydatki budżetowe  gminy na rok 2013 wynoszą 75.642.023,21 zł, z tego:</w:t>
      </w:r>
    </w:p>
    <w:p w:rsidR="003923DB" w:rsidRPr="003923DB" w:rsidRDefault="003923DB" w:rsidP="003923DB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wydatki bieżące 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 xml:space="preserve">            57.374.427,75 zł , w tym: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- na wynagrodzenia i składki </w:t>
      </w:r>
      <w:r w:rsidRPr="003923DB">
        <w:rPr>
          <w:rFonts w:ascii="Calibri" w:hAnsi="Calibri" w:cs="Calibri"/>
        </w:rPr>
        <w:tab/>
        <w:t xml:space="preserve">            22.639.397,16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>- związane z funkcjonowaniem JST         4.223.041,03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- objęte limitem art.226 ust.4 </w:t>
      </w:r>
      <w:proofErr w:type="spellStart"/>
      <w:r w:rsidRPr="003923DB">
        <w:rPr>
          <w:rFonts w:ascii="Calibri" w:hAnsi="Calibri" w:cs="Calibri"/>
        </w:rPr>
        <w:t>ufp</w:t>
      </w:r>
      <w:proofErr w:type="spellEnd"/>
      <w:r w:rsidRPr="003923DB">
        <w:rPr>
          <w:rFonts w:ascii="Calibri" w:hAnsi="Calibri" w:cs="Calibri"/>
        </w:rPr>
        <w:t xml:space="preserve">           1.569.354,91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>- środki określone w art.5 ust.1 pkt.2        509.335,21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>- na obsługę długu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>2.410.000,00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3923DB" w:rsidRPr="003923DB" w:rsidRDefault="003923DB" w:rsidP="003923DB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3923DB">
        <w:rPr>
          <w:rFonts w:ascii="Calibri" w:hAnsi="Calibri" w:cs="Calibri"/>
        </w:rPr>
        <w:t>wydatki majątkowe</w:t>
      </w:r>
      <w:r w:rsidRPr="003923DB">
        <w:rPr>
          <w:rFonts w:ascii="Calibri" w:hAnsi="Calibri" w:cs="Calibri"/>
        </w:rPr>
        <w:tab/>
      </w:r>
      <w:r w:rsidRPr="003923DB">
        <w:rPr>
          <w:rFonts w:ascii="Calibri" w:hAnsi="Calibri" w:cs="Calibri"/>
        </w:rPr>
        <w:tab/>
        <w:t xml:space="preserve">            18.299.616,46 zł, w tym: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-objęte limitem art.,226 ust.4 </w:t>
      </w:r>
      <w:proofErr w:type="spellStart"/>
      <w:r w:rsidRPr="003923DB">
        <w:rPr>
          <w:rFonts w:ascii="Calibri" w:hAnsi="Calibri" w:cs="Calibri"/>
        </w:rPr>
        <w:t>ufp</w:t>
      </w:r>
      <w:proofErr w:type="spellEnd"/>
      <w:r w:rsidRPr="003923DB">
        <w:rPr>
          <w:rFonts w:ascii="Calibri" w:hAnsi="Calibri" w:cs="Calibri"/>
        </w:rPr>
        <w:t xml:space="preserve">         15.744.939,46 zł;</w:t>
      </w:r>
    </w:p>
    <w:p w:rsidR="003923DB" w:rsidRPr="003923DB" w:rsidRDefault="003923DB" w:rsidP="003923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923DB">
        <w:rPr>
          <w:rFonts w:ascii="Calibri" w:hAnsi="Calibri" w:cs="Calibri"/>
        </w:rPr>
        <w:t>-środki określone w art.5 ust.1 pkt.2       6.255.309,37 zł.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3923DB">
        <w:rPr>
          <w:rFonts w:ascii="Calibri" w:hAnsi="Calibri" w:cs="Calibri"/>
          <w:b/>
          <w:bCs/>
        </w:rPr>
        <w:t>Kontrola zadłużenia</w:t>
      </w:r>
      <w:r w:rsidRPr="003923DB">
        <w:rPr>
          <w:rFonts w:ascii="Calibri" w:hAnsi="Calibri" w:cs="Calibri"/>
        </w:rPr>
        <w:t>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Zadłużenie gminy w latach 2013-2015, na podstawie art.170 </w:t>
      </w:r>
      <w:proofErr w:type="spellStart"/>
      <w:r w:rsidRPr="003923DB">
        <w:rPr>
          <w:rFonts w:ascii="Calibri" w:hAnsi="Calibri" w:cs="Calibri"/>
        </w:rPr>
        <w:t>sufp</w:t>
      </w:r>
      <w:proofErr w:type="spellEnd"/>
      <w:r w:rsidRPr="003923DB">
        <w:rPr>
          <w:rFonts w:ascii="Calibri" w:hAnsi="Calibri" w:cs="Calibri"/>
        </w:rPr>
        <w:t xml:space="preserve"> (po uwzględnieniu </w:t>
      </w:r>
      <w:proofErr w:type="spellStart"/>
      <w:r w:rsidRPr="003923DB">
        <w:rPr>
          <w:rFonts w:ascii="Calibri" w:hAnsi="Calibri" w:cs="Calibri"/>
        </w:rPr>
        <w:t>wyłączeń</w:t>
      </w:r>
      <w:bookmarkStart w:id="0" w:name="_GoBack"/>
      <w:bookmarkEnd w:id="0"/>
      <w:proofErr w:type="spellEnd"/>
      <w:r w:rsidRPr="003923DB">
        <w:rPr>
          <w:rFonts w:ascii="Calibri" w:hAnsi="Calibri" w:cs="Calibri"/>
        </w:rPr>
        <w:t xml:space="preserve">) kształtuje się na poziomie, w roku 2013 – 38,24%, 2014 – 26,75%, 2015 – 17,15%. 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Wskaźnik planowanej łącznej spłaty zobowiązań do dochodów ogółem, na podstawie art.169 </w:t>
      </w:r>
      <w:proofErr w:type="spellStart"/>
      <w:r w:rsidRPr="003923DB">
        <w:rPr>
          <w:rFonts w:ascii="Calibri" w:hAnsi="Calibri" w:cs="Calibri"/>
        </w:rPr>
        <w:t>sufp</w:t>
      </w:r>
      <w:proofErr w:type="spellEnd"/>
      <w:r w:rsidRPr="003923DB">
        <w:rPr>
          <w:rFonts w:ascii="Calibri" w:hAnsi="Calibri" w:cs="Calibri"/>
        </w:rPr>
        <w:t xml:space="preserve"> (po uwzględnieniu </w:t>
      </w:r>
      <w:proofErr w:type="spellStart"/>
      <w:r w:rsidRPr="003923DB">
        <w:rPr>
          <w:rFonts w:ascii="Calibri" w:hAnsi="Calibri" w:cs="Calibri"/>
        </w:rPr>
        <w:t>wyłączeń</w:t>
      </w:r>
      <w:proofErr w:type="spellEnd"/>
      <w:r w:rsidRPr="003923DB">
        <w:rPr>
          <w:rFonts w:ascii="Calibri" w:hAnsi="Calibri" w:cs="Calibri"/>
        </w:rPr>
        <w:t>) wynosi, w roku 2013 – 11,97%, 2014 – 11,88%, 2015 – 8,23%.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 W latach objętych prognozą 2013-2019 występuje spełnienie wskaźnika spłaty z art.243 </w:t>
      </w:r>
      <w:proofErr w:type="spellStart"/>
      <w:r w:rsidRPr="003923DB">
        <w:rPr>
          <w:rFonts w:ascii="Calibri" w:hAnsi="Calibri" w:cs="Calibri"/>
        </w:rPr>
        <w:t>ufp</w:t>
      </w:r>
      <w:proofErr w:type="spellEnd"/>
      <w:r w:rsidRPr="003923DB">
        <w:rPr>
          <w:rFonts w:ascii="Calibri" w:hAnsi="Calibri" w:cs="Calibri"/>
        </w:rPr>
        <w:t xml:space="preserve"> po uwzględnieniu art.244 </w:t>
      </w:r>
      <w:proofErr w:type="spellStart"/>
      <w:r w:rsidRPr="003923DB">
        <w:rPr>
          <w:rFonts w:ascii="Calibri" w:hAnsi="Calibri" w:cs="Calibri"/>
        </w:rPr>
        <w:t>ufp</w:t>
      </w:r>
      <w:proofErr w:type="spellEnd"/>
      <w:r w:rsidRPr="003923DB">
        <w:rPr>
          <w:rFonts w:ascii="Calibri" w:hAnsi="Calibri" w:cs="Calibri"/>
        </w:rPr>
        <w:t xml:space="preserve">  (z uwzględnieniem </w:t>
      </w:r>
      <w:proofErr w:type="spellStart"/>
      <w:r w:rsidRPr="003923DB">
        <w:rPr>
          <w:rFonts w:ascii="Calibri" w:hAnsi="Calibri" w:cs="Calibri"/>
        </w:rPr>
        <w:t>wyłączeń</w:t>
      </w:r>
      <w:proofErr w:type="spellEnd"/>
      <w:r w:rsidRPr="003923DB">
        <w:rPr>
          <w:rFonts w:ascii="Calibri" w:hAnsi="Calibri" w:cs="Calibri"/>
        </w:rPr>
        <w:t xml:space="preserve"> UE).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  <w:b/>
          <w:bCs/>
        </w:rPr>
        <w:lastRenderedPageBreak/>
        <w:t>Spłata i obsługa długu</w:t>
      </w:r>
      <w:r w:rsidRPr="003923DB">
        <w:rPr>
          <w:rFonts w:ascii="Calibri" w:hAnsi="Calibri" w:cs="Calibri"/>
        </w:rPr>
        <w:t>.</w:t>
      </w:r>
    </w:p>
    <w:p w:rsidR="003923DB" w:rsidRPr="003923DB" w:rsidRDefault="003923DB" w:rsidP="00392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>W prognozowanym okresie 2013-2019, z tytułu zaciągniętych zobowiązań w wierszu 5.1 „ Spłaty rat kapitałowych” uwzględniono spłaty rat  kredytów i pożyczek, a w wierszu 2.1.3 ” Wydatki na obsługę długu " -  spłaty odsetek. Natomiast spłaty rat z tytułu wykupu wierzytelności wykazane zostały w wierszu 14.3.2 " Wydatki związane z umo</w:t>
      </w:r>
      <w:r>
        <w:rPr>
          <w:rFonts w:ascii="Calibri" w:hAnsi="Calibri" w:cs="Calibri"/>
        </w:rPr>
        <w:t>wami zaliczanymi do tytułów dłuż</w:t>
      </w:r>
      <w:r w:rsidRPr="003923DB">
        <w:rPr>
          <w:rFonts w:ascii="Calibri" w:hAnsi="Calibri" w:cs="Calibri"/>
        </w:rPr>
        <w:t xml:space="preserve">nych wliczanych w państwowy dług publiczny", w  każdym roku  zaplanowana została kwota w wysokości 1.557.692,16 zł, a w 2019 – 1.557.693,44 zł. </w:t>
      </w:r>
    </w:p>
    <w:p w:rsidR="003923DB" w:rsidRPr="003923DB" w:rsidRDefault="003923DB" w:rsidP="003923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23DB">
        <w:rPr>
          <w:rFonts w:ascii="Calibri" w:hAnsi="Calibri" w:cs="Calibri"/>
        </w:rPr>
        <w:t xml:space="preserve">Spłata zobowiązań wymagalnych z roku 2012 w kwocie 2.049.454,36 zł wykazana została w kolumnie 14.3.1 "Spłata zobowiązań wymagalnych z lat poprzednich" oraz w kolumnie 14.2 " Wydatki zmniejszające dług" w kolumnie roku 2013. </w:t>
      </w:r>
    </w:p>
    <w:p w:rsidR="003923DB" w:rsidRPr="003923DB" w:rsidRDefault="003923DB" w:rsidP="003923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ADC" w:rsidRPr="00BB4752" w:rsidRDefault="001C4ADC" w:rsidP="00BB4752"/>
    <w:sectPr w:rsidR="001C4ADC" w:rsidRPr="00BB4752" w:rsidSect="00D14014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4A2C3080"/>
    <w:multiLevelType w:val="hybridMultilevel"/>
    <w:tmpl w:val="2CF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D4C"/>
    <w:multiLevelType w:val="hybridMultilevel"/>
    <w:tmpl w:val="ED72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62281"/>
    <w:multiLevelType w:val="hybridMultilevel"/>
    <w:tmpl w:val="6D9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8"/>
    <w:rsid w:val="0005298A"/>
    <w:rsid w:val="00053B1E"/>
    <w:rsid w:val="0019086F"/>
    <w:rsid w:val="001C4ADC"/>
    <w:rsid w:val="00255383"/>
    <w:rsid w:val="0030158D"/>
    <w:rsid w:val="003923DB"/>
    <w:rsid w:val="00532A43"/>
    <w:rsid w:val="005341C2"/>
    <w:rsid w:val="005D2449"/>
    <w:rsid w:val="006350CA"/>
    <w:rsid w:val="0068092B"/>
    <w:rsid w:val="0068148D"/>
    <w:rsid w:val="006A3A58"/>
    <w:rsid w:val="006B6127"/>
    <w:rsid w:val="006D5627"/>
    <w:rsid w:val="00761973"/>
    <w:rsid w:val="007D2301"/>
    <w:rsid w:val="007D689E"/>
    <w:rsid w:val="00823830"/>
    <w:rsid w:val="00831A3B"/>
    <w:rsid w:val="008A75DB"/>
    <w:rsid w:val="009F12BD"/>
    <w:rsid w:val="00A165B3"/>
    <w:rsid w:val="00AA6EF2"/>
    <w:rsid w:val="00B50442"/>
    <w:rsid w:val="00BB4752"/>
    <w:rsid w:val="00BB4AFF"/>
    <w:rsid w:val="00C827F4"/>
    <w:rsid w:val="00CB4BD0"/>
    <w:rsid w:val="00D74B26"/>
    <w:rsid w:val="00D95074"/>
    <w:rsid w:val="00DC02E8"/>
    <w:rsid w:val="00F3385C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9</cp:revision>
  <cp:lastPrinted>2013-01-28T15:52:00Z</cp:lastPrinted>
  <dcterms:created xsi:type="dcterms:W3CDTF">2013-01-17T13:44:00Z</dcterms:created>
  <dcterms:modified xsi:type="dcterms:W3CDTF">2013-04-02T09:06:00Z</dcterms:modified>
</cp:coreProperties>
</file>